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S. 2001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vědu, vesmír a technologii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zajištění rozvoje vědy a technologického pokroku se Senát a Sněmovna reprezentantů Spojených států amerických v Kongresu usnesly na tomto zákonu: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ZÁKON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genetickém patentování</w:t>
      </w:r>
    </w:p>
    <w:p w:rsidR="00000000" w:rsidDel="00000000" w:rsidP="00000000" w:rsidRDefault="00000000" w:rsidRPr="00000000" w14:paraId="0000000B">
      <w:pPr>
        <w:spacing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Účelem tohoto zákona je stanovit základní podmínky pro genetické patentování v souladu s čl. 1. oddílem 8. Ústavy Spojených států amerických.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102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Genetickým patentem se v rámci tohoto zákona míní patent na izolovaný gen, jeho chemické složení nebo na postup vedoucí k jeho získání a použití. Genetickým patentem se v rámci tohoto zákona míní také celkový způsob úpravy genetické identity zvířete nebo rostliny. 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103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Genetický patent uděluje dle podmínek stanovených v tomto zákoně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United States Patent and Trademark Office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USPTO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104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 rozsahu, v jakém na danou věc nedopadá úprava v tomto zákoně, se přiměřeně použije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U.S. Patent Act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z roku 1952.</w:t>
      </w:r>
    </w:p>
    <w:p w:rsidR="00000000" w:rsidDel="00000000" w:rsidP="00000000" w:rsidRDefault="00000000" w:rsidRPr="00000000" w14:paraId="00000014">
      <w:pPr>
        <w:spacing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Patentovatelnost genetické informace</w:t>
      </w:r>
    </w:p>
    <w:p w:rsidR="00000000" w:rsidDel="00000000" w:rsidP="00000000" w:rsidRDefault="00000000" w:rsidRPr="00000000" w14:paraId="00000015">
      <w:pPr>
        <w:spacing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</w:t>
      </w:r>
    </w:p>
    <w:p w:rsidR="00000000" w:rsidDel="00000000" w:rsidP="00000000" w:rsidRDefault="00000000" w:rsidRPr="00000000" w14:paraId="00000016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 je patentovatelný v případě, že je uměle upraven nebo syntetizován oproti své přirozené podobě.</w:t>
      </w:r>
    </w:p>
    <w:p w:rsidR="00000000" w:rsidDel="00000000" w:rsidP="00000000" w:rsidRDefault="00000000" w:rsidRPr="00000000" w14:paraId="00000017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Par. 202</w:t>
      </w:r>
    </w:p>
    <w:p w:rsidR="00000000" w:rsidDel="00000000" w:rsidP="00000000" w:rsidRDefault="00000000" w:rsidRPr="00000000" w14:paraId="00000018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 je patentovatelný v případě, že je možné určit jeho funkci.  </w:t>
      </w:r>
    </w:p>
    <w:p w:rsidR="00000000" w:rsidDel="00000000" w:rsidP="00000000" w:rsidRDefault="00000000" w:rsidRPr="00000000" w14:paraId="00000019">
      <w:pPr>
        <w:spacing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III. – Výjimky z patentovatelnosti</w:t>
      </w:r>
    </w:p>
    <w:p w:rsidR="00000000" w:rsidDel="00000000" w:rsidP="00000000" w:rsidRDefault="00000000" w:rsidRPr="00000000" w14:paraId="0000001A">
      <w:pPr>
        <w:spacing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301</w:t>
      </w:r>
    </w:p>
    <w:p w:rsidR="00000000" w:rsidDel="00000000" w:rsidP="00000000" w:rsidRDefault="00000000" w:rsidRPr="00000000" w14:paraId="0000001B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 není patentovatelný v těch případech, kdy by se udělení patentu závažným způsobem příčilo veřejnému pořádku. Jedná se zejména o případy, kdy:</w:t>
      </w:r>
    </w:p>
    <w:p w:rsidR="00000000" w:rsidDel="00000000" w:rsidP="00000000" w:rsidRDefault="00000000" w:rsidRPr="00000000" w14:paraId="0000001C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má předmětem patentu být gen lidské bytosti</w:t>
      </w:r>
    </w:p>
    <w:p w:rsidR="00000000" w:rsidDel="00000000" w:rsidP="00000000" w:rsidRDefault="00000000" w:rsidRPr="00000000" w14:paraId="0000001D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má předmětem patentu být gen, který je oproti své přirozené podobě pouze izolován</w:t>
      </w:r>
    </w:p>
    <w:p w:rsidR="00000000" w:rsidDel="00000000" w:rsidP="00000000" w:rsidRDefault="00000000" w:rsidRPr="00000000" w14:paraId="0000001E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má předmětem patentu být gen upravený pouze z obchodních nebo průmyslových důvodů</w:t>
      </w:r>
    </w:p>
    <w:p w:rsidR="00000000" w:rsidDel="00000000" w:rsidP="00000000" w:rsidRDefault="00000000" w:rsidRPr="00000000" w14:paraId="0000001F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má předmětem patentu být taková úprava genetické identity zvířete, která by vedla k jeho utrpení bez přiměřeného vědeckého účelu </w:t>
      </w:r>
    </w:p>
    <w:p w:rsidR="00000000" w:rsidDel="00000000" w:rsidP="00000000" w:rsidRDefault="00000000" w:rsidRPr="00000000" w14:paraId="00000020">
      <w:pPr>
        <w:spacing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IV. – Zvláštní ustanovení</w:t>
      </w:r>
    </w:p>
    <w:p w:rsidR="00000000" w:rsidDel="00000000" w:rsidP="00000000" w:rsidRDefault="00000000" w:rsidRPr="00000000" w14:paraId="00000021">
      <w:pPr>
        <w:spacing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401</w:t>
      </w:r>
    </w:p>
    <w:p w:rsidR="00000000" w:rsidDel="00000000" w:rsidP="00000000" w:rsidRDefault="00000000" w:rsidRPr="00000000" w14:paraId="00000022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Genový patent se uděluje pro období 10 let od okamžiku souhlasného rozhodnutí USPTO.</w:t>
      </w:r>
    </w:p>
    <w:p w:rsidR="00000000" w:rsidDel="00000000" w:rsidP="00000000" w:rsidRDefault="00000000" w:rsidRPr="00000000" w14:paraId="00000023">
      <w:pPr>
        <w:spacing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402</w:t>
      </w:r>
    </w:p>
    <w:p w:rsidR="00000000" w:rsidDel="00000000" w:rsidP="00000000" w:rsidRDefault="00000000" w:rsidRPr="00000000" w14:paraId="00000024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Ochrana vyplývají z genového patentu se vztahuje i na výrobek nesoucí příslušnou genetickou informaci, případně na výrobek, v němž genetická informace plní svou funkci.</w:t>
      </w:r>
    </w:p>
    <w:p w:rsidR="00000000" w:rsidDel="00000000" w:rsidP="00000000" w:rsidRDefault="00000000" w:rsidRPr="00000000" w14:paraId="00000025">
      <w:pPr>
        <w:spacing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403</w:t>
      </w:r>
    </w:p>
    <w:p w:rsidR="00000000" w:rsidDel="00000000" w:rsidP="00000000" w:rsidRDefault="00000000" w:rsidRPr="00000000" w14:paraId="00000026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USPTO se pověřuje po dobu trvání patentu dohledem nad dodržováním podmínek tohoto zákona. V případě jejich porušení je oprávněna zahájit a vést řízení vedoucí ke zrušení patentu dle platného patentového práva. Tím není dotčeno právo soukromých osob zahájit soudní řízení ve věci revize patentové ochrany.  </w:t>
      </w:r>
    </w:p>
    <w:p w:rsidR="00000000" w:rsidDel="00000000" w:rsidP="00000000" w:rsidRDefault="00000000" w:rsidRPr="00000000" w14:paraId="00000027">
      <w:pPr>
        <w:spacing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V. – Závěrečná ustanovení</w:t>
      </w:r>
    </w:p>
    <w:p w:rsidR="00000000" w:rsidDel="00000000" w:rsidP="00000000" w:rsidRDefault="00000000" w:rsidRPr="00000000" w14:paraId="00000028">
      <w:pPr>
        <w:spacing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501</w:t>
      </w:r>
    </w:p>
    <w:p w:rsidR="00000000" w:rsidDel="00000000" w:rsidP="00000000" w:rsidRDefault="00000000" w:rsidRPr="00000000" w14:paraId="00000029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Zákon vstoupí v účinnost dne 1. ledna roku 2022.  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</w:t>
    </w:r>
    <w:r w:rsidDel="00000000" w:rsidR="00000000" w:rsidRPr="00000000">
      <w:rPr>
        <w:rFonts w:ascii="Arial" w:cs="Arial" w:eastAsia="Arial" w:hAnsi="Arial"/>
        <w:rtl w:val="0"/>
      </w:rPr>
      <w:t xml:space="preserve">Jan Hroudný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width-percent:0;mso-height-percent:0;mso-position-horizontal:absolute;mso-position-horizontal-relative:margin;mso-position-vertical:absolute;mso-position-vertical-relative:margin;mso-width-percent:0;mso-height-percent:0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ycehp5CcqPmoiM1LYI16a0IzA==">AMUW2mUZIRqeOJb9KyuVNB4LU3zfiAzTM5oZkgmTlJWjzCaEUPF6KApBX4wA6GdwMhIYWUSuWIBuwl9TxxAQF4ljTi/6KfgnOamPetVS6HOZuC7R8xEu/Vo=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2021-08-01T19:18:00Z</dcterms:created>
  <dc:creator>Eva Klímová</dc:creator>
</cp:coreProperties>
</file>