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t xml:space="preserve">     </w:t>
      </w:r>
      <w:r w:rsidDel="00000000" w:rsidR="00000000" w:rsidRPr="00000000">
        <w:rPr>
          <w:rFonts w:ascii="Arial" w:cs="Arial" w:eastAsia="Arial" w:hAnsi="Arial"/>
          <w:b w:val="1"/>
          <w:sz w:val="24"/>
          <w:szCs w:val="24"/>
          <w:rtl w:val="0"/>
        </w:rPr>
        <w:t xml:space="preserve">H. R. 2</w:t>
      </w:r>
      <w:r w:rsidDel="00000000" w:rsidR="00000000" w:rsidRPr="00000000">
        <w:rPr>
          <w:rFonts w:ascii="Arial" w:cs="Arial" w:eastAsia="Arial" w:hAnsi="Arial"/>
          <w:b w:val="1"/>
          <w:sz w:val="24"/>
          <w:szCs w:val="24"/>
          <w:rtl w:val="0"/>
        </w:rPr>
        <w:t xml:space="preserve">112</w:t>
        <w:tab/>
        <w:tab/>
        <w:tab/>
        <w:tab/>
        <w:tab/>
        <w:tab/>
      </w:r>
      <w:r w:rsidDel="00000000" w:rsidR="00000000" w:rsidRPr="00000000">
        <w:rPr>
          <w:rFonts w:ascii="Arial" w:cs="Arial" w:eastAsia="Arial" w:hAnsi="Arial"/>
          <w:sz w:val="24"/>
          <w:szCs w:val="24"/>
          <w:rtl w:val="0"/>
        </w:rPr>
        <w:t xml:space="preserve">Výbor pro národní bezpečnost</w:t>
      </w:r>
    </w:p>
    <w:p w:rsidR="00000000" w:rsidDel="00000000" w:rsidP="00000000" w:rsidRDefault="00000000" w:rsidRPr="00000000" w14:paraId="00000006">
      <w:pPr>
        <w:spacing w:after="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Český model amerického kongresu 2021</w:t>
      </w:r>
    </w:p>
    <w:p w:rsidR="00000000" w:rsidDel="00000000" w:rsidP="00000000" w:rsidRDefault="00000000" w:rsidRPr="00000000" w14:paraId="00000007">
      <w:pPr>
        <w:spacing w:after="0" w:lineRule="auto"/>
        <w:jc w:val="center"/>
        <w:rPr>
          <w:rFonts w:ascii="Arial" w:cs="Arial" w:eastAsia="Arial" w:hAnsi="Arial"/>
        </w:rPr>
      </w:pPr>
      <w:r w:rsidDel="00000000" w:rsidR="00000000" w:rsidRPr="00000000">
        <w:rPr>
          <w:rFonts w:ascii="Arial" w:cs="Arial" w:eastAsia="Arial" w:hAnsi="Arial"/>
          <w:rtl w:val="0"/>
        </w:rPr>
        <w:t xml:space="preserve">zahájen a konán v městě Plzeň v neděli,</w:t>
      </w:r>
    </w:p>
    <w:p w:rsidR="00000000" w:rsidDel="00000000" w:rsidP="00000000" w:rsidRDefault="00000000" w:rsidRPr="00000000" w14:paraId="00000008">
      <w:pPr>
        <w:jc w:val="center"/>
        <w:rPr>
          <w:rFonts w:ascii="Arial" w:cs="Arial" w:eastAsia="Arial" w:hAnsi="Arial"/>
          <w:sz w:val="24"/>
          <w:szCs w:val="24"/>
        </w:rPr>
      </w:pPr>
      <w:r w:rsidDel="00000000" w:rsidR="00000000" w:rsidRPr="00000000">
        <w:rPr>
          <w:rFonts w:ascii="Arial" w:cs="Arial" w:eastAsia="Arial" w:hAnsi="Arial"/>
          <w:rtl w:val="0"/>
        </w:rPr>
        <w:t xml:space="preserve">pátého září roku dvoutisícího dvacátého prvního</w:t>
      </w:r>
      <w:r w:rsidDel="00000000" w:rsidR="00000000" w:rsidRPr="00000000">
        <w:rPr>
          <w:rtl w:val="0"/>
        </w:rPr>
      </w:r>
    </w:p>
    <w:p w:rsidR="00000000" w:rsidDel="00000000" w:rsidP="00000000" w:rsidRDefault="00000000" w:rsidRPr="00000000" w14:paraId="00000009">
      <w:pPr>
        <w:jc w:val="center"/>
        <w:rPr>
          <w:rFonts w:ascii="Arial" w:cs="Arial" w:eastAsia="Arial" w:hAnsi="Arial"/>
          <w:sz w:val="24"/>
          <w:szCs w:val="24"/>
        </w:rPr>
      </w:pPr>
      <w:r w:rsidDel="00000000" w:rsidR="00000000" w:rsidRPr="00000000">
        <w:rPr>
          <w:rFonts w:ascii="Arial" w:cs="Arial" w:eastAsia="Arial" w:hAnsi="Arial"/>
          <w:i w:val="1"/>
          <w:sz w:val="24"/>
          <w:szCs w:val="24"/>
          <w:rtl w:val="0"/>
        </w:rPr>
        <w:t xml:space="preserve">V zájmu ochrany amerických investorů a americké ekonomiky a v zájmu dosažení informovanosti investorů se Senát a Sněmovna reprezentantů Spojených států amerických v Kongresu usnesly na tomto zákoně:</w:t>
      </w:r>
      <w:r w:rsidDel="00000000" w:rsidR="00000000" w:rsidRPr="00000000">
        <w:rPr>
          <w:rtl w:val="0"/>
        </w:rPr>
      </w:r>
    </w:p>
    <w:p w:rsidR="00000000" w:rsidDel="00000000" w:rsidP="00000000" w:rsidRDefault="00000000" w:rsidRPr="00000000" w14:paraId="0000000A">
      <w:pPr>
        <w:spacing w:line="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ZÁKON o investicích a burzovním přístupu:</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Hlava I. – Úvodní ustanovení</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 101.</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Účelem tohoto zákona je zajistit ochranu amerických investorů a ekonomiky před potenciálně rizikovými zahraničními aktivy a investicemi a zajištění regulace aktiv dle existujících zákonů.</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 účely tohoto zákona se „čínskou komunistickou zbrojní společností“ (ČKZS) myslí jakákoli osoba či entita vlastněná nebo ovládaná Čínskou lidovou osvobozeneckou armádou (ČLOA) nebo společnost, která poskytuje ČLOA služby jako např.: výroba materiálu, transport, export, atp.</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II. – Investice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201.</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Prezident po vyhlášení mimořádné situace může ČKZS, uvedeným ve federálním registru dle Par. 201. odst. b), prověřovat, regulovat či zakázat:</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Transakce na trhu se zahraničními měnami</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Tok kapitálu skrz nebo do jakékoli bankovní instituce na území USA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Dovoz či vývoz měny a aktiv jako jsou např.: akcie, dluhopisy, atp.</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Přístup k aktivům a majetku ČKZS na území USA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Ministr pro vnitřní bezpečnost ve spolupráci s Ministrem obrany a Ministrem financí do 90 dnů od vstupu tohoto zákona v platnost sestaví seznam „čínských komunistických zbrojních společností“ a uveřejní tento seznam ve federálním registru.</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Ministr pro vnitřní bezpečnost ve spolupráci s Ministrem obrany a Ministrem financí do 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 dnů od vstupu tohoto zákona v platnost vypracuje zprávu pro Výbor pro národní bezpečnost Sněmovny reprezentantů a Výbor pro ozbrojené složky Senátu o činnosti ČKZS na území USA a bezpečnostních rizicích spojených s jejich aktivitami na území USA. Veřejná část této zprávy bude zpřístupněna do 180 dnů od dne doručení oběma zmíněným výborům.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III. – Burzovní přístup</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301.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 identifikuje společnosti, které podléhají auditním pravidlům a musí poskytovat zprávy o svém hospodaření dle jiných právních předpisů, a které:</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r>
      <w:r w:rsidDel="00000000" w:rsidR="00000000" w:rsidRPr="00000000">
        <w:rPr>
          <w:rFonts w:ascii="Arial" w:cs="Arial" w:eastAsia="Arial" w:hAnsi="Arial"/>
          <w:sz w:val="24"/>
          <w:szCs w:val="24"/>
          <w:rtl w:val="0"/>
        </w:rPr>
        <w:t xml:space="preserve">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sídlo v zahraničí a SEC není umožněno v plném rozsahu prov</w:t>
      </w:r>
      <w:r w:rsidDel="00000000" w:rsidR="00000000" w:rsidRPr="00000000">
        <w:rPr>
          <w:rFonts w:ascii="Arial" w:cs="Arial" w:eastAsia="Arial" w:hAnsi="Arial"/>
          <w:sz w:val="24"/>
          <w:szCs w:val="24"/>
          <w:rtl w:val="0"/>
        </w:rPr>
        <w:t xml:space="preserve">ádět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kontrolu správnosti a úplnosti auditu a účetn</w:t>
      </w:r>
      <w:r w:rsidDel="00000000" w:rsidR="00000000" w:rsidRPr="00000000">
        <w:rPr>
          <w:rFonts w:ascii="Arial" w:cs="Arial" w:eastAsia="Arial" w:hAnsi="Arial"/>
          <w:sz w:val="24"/>
          <w:szCs w:val="24"/>
          <w:rtl w:val="0"/>
        </w:rPr>
        <w:t xml:space="preserve">ictví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nebo</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Sídlo jejich účetních společností je v zahraničí a SEC není umožněno v plném rozsahu prov</w:t>
      </w:r>
      <w:r w:rsidDel="00000000" w:rsidR="00000000" w:rsidRPr="00000000">
        <w:rPr>
          <w:rFonts w:ascii="Arial" w:cs="Arial" w:eastAsia="Arial" w:hAnsi="Arial"/>
          <w:sz w:val="24"/>
          <w:szCs w:val="24"/>
          <w:rtl w:val="0"/>
        </w:rPr>
        <w:t xml:space="preserve">ádět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kontrolu správnosti a úplnosti auditu a účetnictví</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polečnost identifikovaná SEC dle odst. a) má povinnost dodat SEC potřebnou dokumentaci, která prokáže, že společnost splňuje veškeré auditní a účetní předpoklady (</w:t>
      </w:r>
      <w:r w:rsidDel="00000000" w:rsidR="00000000" w:rsidRPr="00000000">
        <w:rPr>
          <w:rFonts w:ascii="Arial" w:cs="Arial" w:eastAsia="Arial" w:hAnsi="Arial"/>
          <w:sz w:val="24"/>
          <w:szCs w:val="24"/>
          <w:rtl w:val="0"/>
        </w:rPr>
        <w:t xml:space="preserve">stanovené dle jiných právních předpisů)</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 obchodování s jejími cennými papíry.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302.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Pakliže společnost identifikovaná SEC dle Par. 301 odst. a) nebude konat dle Par. 301 odst. b), a tedy nenapraví nedostatky ve třech po sobě následujících letech, nebo do jednoho roku v případě opakovaného nesplnění podmínek dle tohoto zákona, může SEC zakázat obchodování s cennými papíry této společnosti:</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burzách podléhající SEC, nebo</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Skrze jakoukoli jinou platformu, která spadá pod regulaci SEC, což například zahrnuje i tzv. „prodej přes přepážku“.</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společnost ovlivněná zásahem dle Par. 302. odst. a) bude konat dle Par. 301. odst. b) a napraví tak nedostatky, bude jí umožněno znovu obnovit obchodování s cennými papíry v podobě před zásahem dle Par. 302. odst. 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Hlava IV. – Závěrečná ustanovení</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 401.</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Tento zákon nabývá účinnosti dne 1. 1. 2022.</w:t>
      </w:r>
    </w:p>
    <w:sectPr>
      <w:headerReference r:id="rId10" w:type="default"/>
      <w:headerReference r:id="rId11" w:type="first"/>
      <w:headerReference r:id="rId12" w:type="even"/>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tabs>
        <w:tab w:val="center" w:pos="4536"/>
        <w:tab w:val="right" w:pos="9072"/>
      </w:tabs>
      <w:spacing w:after="0" w:line="240" w:lineRule="auto"/>
      <w:jc w:val="center"/>
      <w:rPr>
        <w:rFonts w:ascii="Arial" w:cs="Arial" w:eastAsia="Arial" w:hAnsi="Arial"/>
        <w:color w:val="000000"/>
      </w:rPr>
    </w:pPr>
    <w:r w:rsidDel="00000000" w:rsidR="00000000" w:rsidRPr="00000000">
      <w:rPr>
        <w:rFonts w:ascii="Arial" w:cs="Arial" w:eastAsia="Arial" w:hAnsi="Arial"/>
        <w:rtl w:val="0"/>
      </w:rPr>
      <w:t xml:space="preserve">Pro potřeby Českého modelu amerického kongresu 2021 Martin Bican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7" style="position:absolute;margin-left:-70.94992125984253pt;margin-top:-86.9pt;width:595.2pt;height:841.9pt;z-index:-251655168;mso-wrap-edited:f;mso-width-percent:0;mso-height-percent:0;mso-position-horizontal:absolute;mso-position-horizontal-relative:margin;mso-position-vertical:absolute;mso-position-vertical-relative:margin;mso-width-percent:0;mso-height-percent:0" alt="" o:spid="_x0000_s2050" o:allowincell="f" type="#_x0000_t75">
          <v:imagedata r:id="rId1" o:title="čmak10-02"/>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6" style="position:absolute;width:595.2pt;height:841.9pt;z-index:-251656192;mso-wrap-edited:f;mso-width-percent:0;mso-height-percent:0;mso-position-horizontal:center;mso-position-horizontal-relative:margin;mso-position-vertical:center;mso-position-vertical-relative:margin;mso-width-percent:0;mso-height-percent:0" alt="" o:spid="_x0000_s2051" o:allowincell="f" type="#_x0000_t75">
          <v:imagedata r:id="rId2" o:title="čmak10-02"/>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pict>
        <v:shape id="WordPictureWatermark145195875" style="position:absolute;width:595.2pt;height:841.9pt;z-index:-251657216;mso-wrap-edited:f;mso-width-percent:0;mso-height-percent:0;mso-position-horizontal:center;mso-position-horizontal-relative:margin;mso-position-vertical:center;mso-position-vertical-relative:margin;mso-width-percent:0;mso-height-percent:0" alt="" o:spid="_x0000_s2049" o:allowincell="f" type="#_x0000_t75">
          <v:imagedata r:id="rId3" o:title="čmak10-02"/>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Odstavecseseznamem">
    <w:name w:val="List Paragraph"/>
    <w:basedOn w:val="Normln"/>
    <w:uiPriority w:val="34"/>
    <w:qFormat w:val="1"/>
    <w:rsid w:val="00F357F9"/>
    <w:pPr>
      <w:ind w:left="720"/>
      <w:contextualSpacing w:val="1"/>
    </w:pPr>
  </w:style>
  <w:style w:type="paragraph" w:styleId="Zhlav">
    <w:name w:val="header"/>
    <w:basedOn w:val="Normln"/>
    <w:link w:val="ZhlavChar"/>
    <w:uiPriority w:val="99"/>
    <w:unhideWhenUsed w:val="1"/>
    <w:rsid w:val="00022E15"/>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022E15"/>
  </w:style>
  <w:style w:type="paragraph" w:styleId="Zpat">
    <w:name w:val="footer"/>
    <w:basedOn w:val="Normln"/>
    <w:link w:val="ZpatChar"/>
    <w:uiPriority w:val="99"/>
    <w:unhideWhenUsed w:val="1"/>
    <w:rsid w:val="00022E15"/>
    <w:pPr>
      <w:tabs>
        <w:tab w:val="center" w:pos="4536"/>
        <w:tab w:val="right" w:pos="9072"/>
      </w:tabs>
      <w:spacing w:after="0" w:line="240" w:lineRule="auto"/>
    </w:pPr>
  </w:style>
  <w:style w:type="character" w:styleId="ZpatChar" w:customStyle="1">
    <w:name w:val="Zápatí Char"/>
    <w:basedOn w:val="Standardnpsmoodstavce"/>
    <w:link w:val="Zpat"/>
    <w:uiPriority w:val="99"/>
    <w:rsid w:val="00022E15"/>
  </w:style>
  <w:style w:type="paragraph" w:styleId="Textpoznpodarou">
    <w:name w:val="footnote text"/>
    <w:basedOn w:val="Normln"/>
    <w:link w:val="TextpoznpodarouChar"/>
    <w:uiPriority w:val="99"/>
    <w:semiHidden w:val="1"/>
    <w:unhideWhenUsed w:val="1"/>
    <w:rsid w:val="00DD38D3"/>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DD38D3"/>
    <w:rPr>
      <w:sz w:val="20"/>
      <w:szCs w:val="20"/>
    </w:rPr>
  </w:style>
  <w:style w:type="character" w:styleId="Znakapoznpodarou">
    <w:name w:val="footnote reference"/>
    <w:basedOn w:val="Standardnpsmoodstavce"/>
    <w:uiPriority w:val="99"/>
    <w:semiHidden w:val="1"/>
    <w:unhideWhenUsed w:val="1"/>
    <w:rsid w:val="00DD38D3"/>
    <w:rPr>
      <w:vertAlign w:val="superscript"/>
    </w:rPr>
  </w:style>
  <w:style w:type="character" w:styleId="notranslate" w:customStyle="1">
    <w:name w:val="notranslate"/>
    <w:basedOn w:val="Standardnpsmoodstavce"/>
    <w:rsid w:val="005E24BF"/>
  </w:style>
  <w:style w:type="character" w:styleId="Hypertextovodkaz">
    <w:name w:val="Hyperlink"/>
    <w:basedOn w:val="Standardnpsmoodstavce"/>
    <w:uiPriority w:val="99"/>
    <w:unhideWhenUsed w:val="1"/>
    <w:rsid w:val="005E24BF"/>
    <w:rPr>
      <w:color w:val="0000ff" w:themeColor="hyperlink"/>
      <w:u w:val="single"/>
    </w:rPr>
  </w:style>
  <w:style w:type="character" w:styleId="Nevyeenzmnka1" w:customStyle="1">
    <w:name w:val="Nevyřešená zmínka1"/>
    <w:basedOn w:val="Standardnpsmoodstavce"/>
    <w:uiPriority w:val="99"/>
    <w:semiHidden w:val="1"/>
    <w:unhideWhenUsed w:val="1"/>
    <w:rsid w:val="005E24BF"/>
    <w:rPr>
      <w:color w:val="605e5c"/>
      <w:shd w:color="auto" w:fill="e1dfdd" w:val="clear"/>
    </w:rPr>
  </w:style>
  <w:style w:type="character" w:styleId="tlid-translation" w:customStyle="1">
    <w:name w:val="tlid-translation"/>
    <w:basedOn w:val="Standardnpsmoodstavce"/>
    <w:rsid w:val="00A65625"/>
  </w:style>
  <w:style w:type="character" w:styleId="Sledovanodkaz">
    <w:name w:val="FollowedHyperlink"/>
    <w:basedOn w:val="Standardnpsmoodstavce"/>
    <w:uiPriority w:val="99"/>
    <w:semiHidden w:val="1"/>
    <w:unhideWhenUsed w:val="1"/>
    <w:rsid w:val="005C6C99"/>
    <w:rPr>
      <w:color w:val="800080" w:themeColor="followedHyperlink"/>
      <w:u w:val="single"/>
    </w:rPr>
  </w:style>
  <w:style w:type="character" w:styleId="Odkaznakoment">
    <w:name w:val="annotation reference"/>
    <w:basedOn w:val="Standardnpsmoodstavce"/>
    <w:uiPriority w:val="99"/>
    <w:semiHidden w:val="1"/>
    <w:unhideWhenUsed w:val="1"/>
    <w:rsid w:val="00F362B5"/>
    <w:rPr>
      <w:sz w:val="16"/>
      <w:szCs w:val="16"/>
    </w:rPr>
  </w:style>
  <w:style w:type="paragraph" w:styleId="Textkomente">
    <w:name w:val="annotation text"/>
    <w:basedOn w:val="Normln"/>
    <w:link w:val="TextkomenteChar"/>
    <w:uiPriority w:val="99"/>
    <w:semiHidden w:val="1"/>
    <w:unhideWhenUsed w:val="1"/>
    <w:rsid w:val="00F362B5"/>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F362B5"/>
    <w:rPr>
      <w:sz w:val="20"/>
      <w:szCs w:val="20"/>
    </w:rPr>
  </w:style>
  <w:style w:type="paragraph" w:styleId="Pedmtkomente">
    <w:name w:val="annotation subject"/>
    <w:basedOn w:val="Textkomente"/>
    <w:next w:val="Textkomente"/>
    <w:link w:val="PedmtkomenteChar"/>
    <w:uiPriority w:val="99"/>
    <w:semiHidden w:val="1"/>
    <w:unhideWhenUsed w:val="1"/>
    <w:rsid w:val="00F362B5"/>
    <w:rPr>
      <w:b w:val="1"/>
      <w:bCs w:val="1"/>
    </w:rPr>
  </w:style>
  <w:style w:type="character" w:styleId="PedmtkomenteChar" w:customStyle="1">
    <w:name w:val="Předmět komentáře Char"/>
    <w:basedOn w:val="TextkomenteChar"/>
    <w:link w:val="Pedmtkomente"/>
    <w:uiPriority w:val="99"/>
    <w:semiHidden w:val="1"/>
    <w:rsid w:val="00F362B5"/>
    <w:rPr>
      <w:b w:val="1"/>
      <w:bCs w:val="1"/>
      <w:sz w:val="20"/>
      <w:szCs w:val="20"/>
    </w:rPr>
  </w:style>
  <w:style w:type="paragraph" w:styleId="Textbubliny">
    <w:name w:val="Balloon Text"/>
    <w:basedOn w:val="Normln"/>
    <w:link w:val="TextbublinyChar"/>
    <w:uiPriority w:val="99"/>
    <w:semiHidden w:val="1"/>
    <w:unhideWhenUsed w:val="1"/>
    <w:rsid w:val="00F362B5"/>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362B5"/>
    <w:rPr>
      <w:rFonts w:ascii="Segoe UI" w:cs="Segoe UI" w:hAnsi="Segoe UI"/>
      <w:sz w:val="18"/>
      <w:szCs w:val="18"/>
    </w:rPr>
  </w:style>
  <w:style w:type="character" w:styleId="mixed-citation" w:customStyle="1">
    <w:name w:val="mixed-citation"/>
    <w:basedOn w:val="Standardnpsmoodstavce"/>
    <w:rsid w:val="0031287C"/>
  </w:style>
  <w:style w:type="character" w:styleId="ref-title" w:customStyle="1">
    <w:name w:val="ref-title"/>
    <w:basedOn w:val="Standardnpsmoodstavce"/>
    <w:rsid w:val="0031287C"/>
  </w:style>
  <w:style w:type="character" w:styleId="ref-journal" w:customStyle="1">
    <w:name w:val="ref-journal"/>
    <w:basedOn w:val="Standardnpsmoodstavce"/>
    <w:rsid w:val="0031287C"/>
  </w:style>
  <w:style w:type="character" w:styleId="ref-vol" w:customStyle="1">
    <w:name w:val="ref-vol"/>
    <w:basedOn w:val="Standardnpsmoodstavce"/>
    <w:rsid w:val="0031287C"/>
  </w:style>
  <w:style w:type="character" w:styleId="ref-iss" w:customStyle="1">
    <w:name w:val="ref-iss"/>
    <w:basedOn w:val="Standardnpsmoodstavce"/>
    <w:rsid w:val="0031287C"/>
  </w:style>
  <w:style w:type="character" w:styleId="nowrap" w:customStyle="1">
    <w:name w:val="nowrap"/>
    <w:basedOn w:val="Standardnpsmoodstavce"/>
    <w:rsid w:val="0031287C"/>
  </w:style>
  <w:style w:type="character" w:styleId="publication" w:customStyle="1">
    <w:name w:val="publication"/>
    <w:basedOn w:val="Standardnpsmoodstavce"/>
    <w:rsid w:val="00C15BF9"/>
  </w:style>
  <w:style w:type="character" w:styleId="reviewers" w:customStyle="1">
    <w:name w:val="reviewers"/>
    <w:basedOn w:val="Standardnpsmoodstavce"/>
    <w:rsid w:val="00C15BF9"/>
  </w:style>
  <w:style w:type="character" w:styleId="revdate" w:customStyle="1">
    <w:name w:val="revdate"/>
    <w:basedOn w:val="Standardnpsmoodstavce"/>
    <w:rsid w:val="00C15BF9"/>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character" w:styleId="Nevyeenzmnka">
    <w:name w:val="Unresolved Mention"/>
    <w:basedOn w:val="Standardnpsmoodstavce"/>
    <w:uiPriority w:val="99"/>
    <w:semiHidden w:val="1"/>
    <w:unhideWhenUsed w:val="1"/>
    <w:rsid w:val="00854B7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TIwhpgwElyIUUR4HTBwvn1kDw==">AMUW2mVMloRiNmrk4b6idjjRHFODPOZXZVENdP7C6Ag0HrFoOr0l7yk1X9Yawhz49QSqmW2NepX0V+K37+lXEiwzAfevwSzRbXKa4/CFvhKwVS+jRnxaaik=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2021-08-01T19:18:00Z</dcterms:created>
  <dc:creator>Eva Klímová</dc:creator>
</cp:coreProperties>
</file>