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 2101 </w:t>
        <w:tab/>
        <w:tab/>
        <w:tab/>
        <w:tab/>
        <w:tab/>
        <w:tab/>
        <w:tab/>
        <w:t xml:space="preserve">       </w:t>
        <w:tab/>
        <w:tab/>
        <w:t xml:space="preserve">  </w:t>
      </w:r>
      <w:r w:rsidDel="00000000" w:rsidR="00000000" w:rsidRPr="00000000">
        <w:rPr>
          <w:rFonts w:ascii="Arial" w:cs="Arial" w:eastAsia="Arial" w:hAnsi="Arial"/>
          <w:sz w:val="24"/>
          <w:szCs w:val="24"/>
          <w:rtl w:val="0"/>
        </w:rPr>
        <w:t xml:space="preserve">Výbor pro justici</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Český model amerického kongresu 2021</w:t>
      </w:r>
    </w:p>
    <w:p w:rsidR="00000000" w:rsidDel="00000000" w:rsidP="00000000" w:rsidRDefault="00000000" w:rsidRPr="00000000" w14:paraId="00000004">
      <w:pPr>
        <w:spacing w:after="0" w:lineRule="auto"/>
        <w:jc w:val="center"/>
        <w:rPr>
          <w:rFonts w:ascii="Arial" w:cs="Arial" w:eastAsia="Arial" w:hAnsi="Arial"/>
        </w:rPr>
      </w:pPr>
      <w:r w:rsidDel="00000000" w:rsidR="00000000" w:rsidRPr="00000000">
        <w:rPr>
          <w:rFonts w:ascii="Arial" w:cs="Arial" w:eastAsia="Arial" w:hAnsi="Arial"/>
          <w:rtl w:val="0"/>
        </w:rPr>
        <w:t xml:space="preserve">zahájen a konán v městě Plzeň v neděli,</w:t>
      </w:r>
    </w:p>
    <w:p w:rsidR="00000000" w:rsidDel="00000000" w:rsidP="00000000" w:rsidRDefault="00000000" w:rsidRPr="00000000" w14:paraId="00000005">
      <w:pPr>
        <w:jc w:val="center"/>
        <w:rPr>
          <w:rFonts w:ascii="Arial" w:cs="Arial" w:eastAsia="Arial" w:hAnsi="Arial"/>
          <w:sz w:val="24"/>
          <w:szCs w:val="24"/>
        </w:rPr>
      </w:pPr>
      <w:r w:rsidDel="00000000" w:rsidR="00000000" w:rsidRPr="00000000">
        <w:rPr>
          <w:rFonts w:ascii="Arial" w:cs="Arial" w:eastAsia="Arial" w:hAnsi="Arial"/>
          <w:rtl w:val="0"/>
        </w:rPr>
        <w:t xml:space="preserve">pátého září roku dvoutisícího dvacátého prvního</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Fonts w:ascii="Arial" w:cs="Arial" w:eastAsia="Arial" w:hAnsi="Arial"/>
          <w:i w:val="1"/>
          <w:sz w:val="24"/>
          <w:szCs w:val="24"/>
          <w:rtl w:val="0"/>
        </w:rPr>
        <w:t xml:space="preserve">V zájmu efektivní ochrany lidských práv na celém světě se Senát a Sněmovna reprezentantů Spojených států amerických v Kongresu usnesly na tomto zákonu:</w:t>
      </w:r>
      <w:r w:rsidDel="00000000" w:rsidR="00000000" w:rsidRPr="00000000">
        <w:rPr>
          <w:rtl w:val="0"/>
        </w:rPr>
      </w:r>
    </w:p>
    <w:p w:rsidR="00000000" w:rsidDel="00000000" w:rsidP="00000000" w:rsidRDefault="00000000" w:rsidRPr="00000000" w14:paraId="00000007">
      <w:pPr>
        <w:spacing w:line="36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ZÁKON</w:t>
      </w:r>
    </w:p>
    <w:p w:rsidR="00000000" w:rsidDel="00000000" w:rsidP="00000000" w:rsidRDefault="00000000" w:rsidRPr="00000000" w14:paraId="00000008">
      <w:pPr>
        <w:spacing w:line="36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Revize Magnitského zákona</w:t>
      </w:r>
      <w:r w:rsidDel="00000000" w:rsidR="00000000" w:rsidRPr="00000000">
        <w:rPr>
          <w:rtl w:val="0"/>
        </w:rPr>
      </w:r>
    </w:p>
    <w:p w:rsidR="00000000" w:rsidDel="00000000" w:rsidP="00000000" w:rsidRDefault="00000000" w:rsidRPr="00000000" w14:paraId="00000009">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Hlava I. – Úvodní ustanovení</w:t>
      </w:r>
    </w:p>
    <w:p w:rsidR="00000000" w:rsidDel="00000000" w:rsidP="00000000" w:rsidRDefault="00000000" w:rsidRPr="00000000" w14:paraId="0000000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101. Vztah k jiným zákonům</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Tento zákon navazuje na původní Global Magnitsky Human Rights Act (2016), který se na záležitosti upravené tímto zákonem použije do té míry, do jaké neodporuje znění tohoto zákona.</w:t>
      </w:r>
    </w:p>
    <w:p w:rsidR="00000000" w:rsidDel="00000000" w:rsidP="00000000" w:rsidRDefault="00000000" w:rsidRPr="00000000" w14:paraId="0000000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102. Definice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Osobou se míní každá fyzická či právnická osoba.</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Zahraniční osobou se míní každá osoba, která není občanem Spojených států amerických.</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Osobou Spojených států se míní všichni občané Spojených států amerických, cizinci s povolením trvalého pobytu a právnické osoby registrované ve Spojených státech včetně poboček zahraničních právnických osob spadajících pod jurisdikci Spojených států amerických.</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Prezidentem se míní Prezident Spojených států amerických.</w:t>
      </w:r>
    </w:p>
    <w:p w:rsidR="00000000" w:rsidDel="00000000" w:rsidP="00000000" w:rsidRDefault="00000000" w:rsidRPr="00000000" w14:paraId="00000011">
      <w:pPr>
        <w:keepNext w:val="1"/>
        <w:spacing w:before="40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Hlava II. – Sankce na zahraniční osoby </w:t>
      </w:r>
    </w:p>
    <w:p w:rsidR="00000000" w:rsidDel="00000000" w:rsidP="00000000" w:rsidRDefault="00000000" w:rsidRPr="00000000" w14:paraId="00000012">
      <w:pPr>
        <w:keepNext w:val="1"/>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201. Pravomoc k uvalení sankcí</w:t>
      </w:r>
    </w:p>
    <w:p w:rsidR="00000000" w:rsidDel="00000000" w:rsidP="00000000" w:rsidRDefault="00000000" w:rsidRPr="00000000" w14:paraId="0000001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 může uvalit sankce uvedené v par. 202 na zahraniční osoby, jestliže tyto osoby na základě důvodných podezření:</w:t>
      </w:r>
    </w:p>
    <w:p w:rsidR="00000000" w:rsidDel="00000000" w:rsidP="00000000" w:rsidRDefault="00000000" w:rsidRPr="00000000" w14:paraId="00000014">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200" w:before="0" w:line="360" w:lineRule="auto"/>
        <w:ind w:left="1276"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zodpovídají za protiprávní zabití, mučení nebo jiné závažné porušení mezinárodně uznávaných lidských práv spáchané na osobě, která odhalila nelegální aktivitu vládních činitelů anebo která vykonávala, obhajovala či podporovala mezinárodně uznávané lidská práva včetně politických práv; nebo</w:t>
      </w:r>
    </w:p>
    <w:p w:rsidR="00000000" w:rsidDel="00000000" w:rsidP="00000000" w:rsidRDefault="00000000" w:rsidRPr="00000000" w14:paraId="00000015">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200" w:before="0" w:line="360" w:lineRule="auto"/>
        <w:ind w:left="1276"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sehrály roli špiona v případech podle předchozího odstavce; nebo</w:t>
      </w:r>
    </w:p>
    <w:p w:rsidR="00000000" w:rsidDel="00000000" w:rsidP="00000000" w:rsidRDefault="00000000" w:rsidRPr="00000000" w14:paraId="00000016">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200" w:before="0" w:line="360" w:lineRule="auto"/>
        <w:ind w:left="1276"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jsou vysocí vládní činitelé, kteří kontrolovali, podporovali či se jinak zapojili do korupčních případů a podvodů; nebo</w:t>
      </w:r>
    </w:p>
    <w:p w:rsidR="00000000" w:rsidDel="00000000" w:rsidP="00000000" w:rsidRDefault="00000000" w:rsidRPr="00000000" w14:paraId="00000017">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200" w:before="0" w:line="360" w:lineRule="auto"/>
        <w:ind w:left="1276"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materiálně podporovaly aktivity dle předchozího odstavce.</w:t>
      </w:r>
    </w:p>
    <w:p w:rsidR="00000000" w:rsidDel="00000000" w:rsidP="00000000" w:rsidRDefault="00000000" w:rsidRPr="00000000" w14:paraId="00000018">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425"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 může delegovat pravomoc podle odst. (a) na ministra zahraničí.</w:t>
      </w:r>
    </w:p>
    <w:p w:rsidR="00000000" w:rsidDel="00000000" w:rsidP="00000000" w:rsidRDefault="00000000" w:rsidRPr="00000000" w14:paraId="0000001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rozhodnutí o uvalení sankcí prezident informuje Kongres za podmínek podle sekce 4 původního zákona.</w:t>
      </w:r>
    </w:p>
    <w:p w:rsidR="00000000" w:rsidDel="00000000" w:rsidP="00000000" w:rsidRDefault="00000000" w:rsidRPr="00000000" w14:paraId="0000001A">
      <w:pPr>
        <w:keepNext w:val="1"/>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202. Sankce</w:t>
      </w:r>
    </w:p>
    <w:p w:rsidR="00000000" w:rsidDel="00000000" w:rsidP="00000000" w:rsidRDefault="00000000" w:rsidRPr="00000000" w14:paraId="0000001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 může osobám uvedeným v par. 201</w:t>
      </w:r>
    </w:p>
    <w:p w:rsidR="00000000" w:rsidDel="00000000" w:rsidP="00000000" w:rsidRDefault="00000000" w:rsidRPr="00000000" w14:paraId="0000001C">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1276"/>
        </w:tabs>
        <w:spacing w:after="200" w:before="0" w:line="360" w:lineRule="auto"/>
        <w:ind w:left="1276"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zakázat vstup na území Spojených států amerických s výjimkou vstupu za účelem jednání Organizace spojených národů; anebo</w:t>
      </w:r>
    </w:p>
    <w:p w:rsidR="00000000" w:rsidDel="00000000" w:rsidP="00000000" w:rsidRDefault="00000000" w:rsidRPr="00000000" w14:paraId="0000001D">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1276"/>
        </w:tabs>
        <w:spacing w:after="200" w:before="0" w:line="360" w:lineRule="auto"/>
        <w:ind w:left="1276"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zakázat nakládání s majetkem takové osoby nacházejícího se na území Spojených států amerických.</w:t>
      </w:r>
    </w:p>
    <w:p w:rsidR="00000000" w:rsidDel="00000000" w:rsidP="00000000" w:rsidRDefault="00000000" w:rsidRPr="00000000" w14:paraId="0000001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 může všem osobám Spojených států amerických zakázat obchodovat s osobami uvedenými v par. 201.</w:t>
      </w:r>
    </w:p>
    <w:p w:rsidR="00000000" w:rsidDel="00000000" w:rsidP="00000000" w:rsidRDefault="00000000" w:rsidRPr="00000000" w14:paraId="0000001F">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Každý, kdo poruší zákaz podle odst. (b), může být potrestán peněžitou pokutou do výše 100 000 USD, nebo odnětím svobody až na 2 roky.</w:t>
      </w:r>
    </w:p>
    <w:p w:rsidR="00000000" w:rsidDel="00000000" w:rsidP="00000000" w:rsidRDefault="00000000" w:rsidRPr="00000000" w14:paraId="0000002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Sankce podle odst. (a) a (b) lze i vzájemně kombinovat.</w:t>
      </w:r>
    </w:p>
    <w:p w:rsidR="00000000" w:rsidDel="00000000" w:rsidP="00000000" w:rsidRDefault="00000000" w:rsidRPr="00000000" w14:paraId="0000002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Hlava III. – Zrušení sankcí a obrana proti nim</w:t>
      </w:r>
    </w:p>
    <w:p w:rsidR="00000000" w:rsidDel="00000000" w:rsidP="00000000" w:rsidRDefault="00000000" w:rsidRPr="00000000" w14:paraId="0000002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301. Zrušení sankcí</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 sankce uvalené podle hlavy II. zruší, jestliže</w:t>
      </w:r>
    </w:p>
    <w:p w:rsidR="00000000" w:rsidDel="00000000" w:rsidP="00000000" w:rsidRDefault="00000000" w:rsidRPr="00000000" w14:paraId="0000002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00" w:before="0" w:line="360" w:lineRule="auto"/>
        <w:ind w:left="993"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existují věrohodné informace, že osoba čin nespáchala;</w:t>
        <w:tab/>
      </w:r>
    </w:p>
    <w:p w:rsidR="00000000" w:rsidDel="00000000" w:rsidP="00000000" w:rsidRDefault="00000000" w:rsidRPr="00000000" w14:paraId="0000002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00" w:before="0" w:line="360" w:lineRule="auto"/>
        <w:ind w:left="993"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sankcionovaný byl ve své zemi již řádně potrestán;</w:t>
      </w:r>
    </w:p>
    <w:p w:rsidR="00000000" w:rsidDel="00000000" w:rsidP="00000000" w:rsidRDefault="00000000" w:rsidRPr="00000000" w14:paraId="0000002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00" w:before="0" w:line="360" w:lineRule="auto"/>
        <w:ind w:left="993"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sankcionovaný prokázal podstatnou změnu chování k lepšímu; nebo</w:t>
      </w:r>
    </w:p>
    <w:p w:rsidR="00000000" w:rsidDel="00000000" w:rsidP="00000000" w:rsidRDefault="00000000" w:rsidRPr="00000000" w14:paraId="0000002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00" w:before="0" w:line="360" w:lineRule="auto"/>
        <w:ind w:left="993"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zrušení sankcí je nutné v bezpečnostním zájmu Spojených států.</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Senát uvalené sankce podle hlavy II. zruší, jestliže existují důvody podle odst. (a), ale prezident sankce nezrušil, anebo bez ohledu na důvody podle odst. (a) jestliže se na tom usnese 3/5 většinou všech členů.</w:t>
      </w:r>
    </w:p>
    <w:p w:rsidR="00000000" w:rsidDel="00000000" w:rsidP="00000000" w:rsidRDefault="00000000" w:rsidRPr="00000000" w14:paraId="0000002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302. Obrana proti sankcím</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3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Sankcionovaný může kdykoliv během trvání sankcí podat návrh na zrušení sankcí. Tento návrh se podává k viceprezidentovi Spojených států.</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3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Sankcionovaný musí v návrhu tvrdit a doložit naplnění jednoho z důvodů podle par. 301 odst. (a).</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3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návrhu do 30 dnů od jeho doručení viceprezidentovi rozhodne Senát.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3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Senát sankce zruší, shledá-li naplnění podmínek podle par. 301 odst. (a) a usnese-li se na tom nadpoloviční většinou svých členů. V opačném případě návrh odmítne.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3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Podání návrhu Senátu nemá vůči uvaleným sankcím odkladný účinek.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400" w:line="36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Hlava IV. – Závěrečná ustanovení</w:t>
      </w:r>
    </w:p>
    <w:p w:rsidR="00000000" w:rsidDel="00000000" w:rsidP="00000000" w:rsidRDefault="00000000" w:rsidRPr="00000000" w14:paraId="0000003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401. </w:t>
      </w:r>
    </w:p>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Zákon nabývá účinnosti 1. 1. 2022. </w:t>
      </w:r>
    </w:p>
    <w:sectPr>
      <w:headerReference r:id="rId10" w:type="default"/>
      <w:headerReference r:id="rId11" w:type="first"/>
      <w:headerReference r:id="rId12" w:type="even"/>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potřeby Českého modelu amerického kongresu 2021 Michal Kovalčík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45195877" style="position:absolute;margin-left:-70.94992125984253pt;margin-top:-86.9pt;width:595.2pt;height:841.9pt;z-index:-251655168;mso-wrap-edited:f;mso-width-percent:0;mso-height-percent:0;mso-position-horizontal-relative:margin;mso-position-vertical-relative:margin;mso-width-percent:0;mso-height-percent:0;mso-position-horizontal:absolute;mso-position-vertical:absolute;" alt="" o:spid="_x0000_s2050" o:allowincell="f" type="#_x0000_t75">
          <v:imagedata r:id="rId1" o:title="čmak10-02"/>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45195876" style="position:absolute;width:595.2pt;height:841.9pt;z-index:-251656192;mso-wrap-edited:f;mso-width-percent:0;mso-height-percent:0;mso-position-horizontal:center;mso-position-horizontal-relative:margin;mso-position-vertical:center;mso-position-vertical-relative:margin;mso-width-percent:0;mso-height-percent:0" alt="" o:spid="_x0000_s2051" o:allowincell="f" type="#_x0000_t75">
          <v:imagedata r:id="rId2" o:title="čmak10-02"/>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45195875" style="position:absolute;width:595.2pt;height:841.9pt;z-index:-251657216;mso-wrap-edited:f;mso-width-percent:0;mso-height-percent:0;mso-position-horizontal:center;mso-position-horizontal-relative:margin;mso-position-vertical:center;mso-position-vertical-relative:margin;mso-width-percent:0;mso-height-percent:0" alt="" o:spid="_x0000_s2049" o:allowincell="f" type="#_x0000_t75">
          <v:imagedata r:id="rId3" o:title="čmak10-02"/>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65" w:hanging="4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65" w:hanging="4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57F9"/>
    <w:pPr>
      <w:ind w:left="720"/>
      <w:contextualSpacing w:val="1"/>
    </w:pPr>
  </w:style>
  <w:style w:type="paragraph" w:styleId="Header">
    <w:name w:val="header"/>
    <w:basedOn w:val="Normal"/>
    <w:link w:val="HeaderChar"/>
    <w:uiPriority w:val="99"/>
    <w:unhideWhenUsed w:val="1"/>
    <w:rsid w:val="00022E15"/>
    <w:pPr>
      <w:tabs>
        <w:tab w:val="center" w:pos="4536"/>
        <w:tab w:val="right" w:pos="9072"/>
      </w:tabs>
      <w:spacing w:after="0" w:line="240" w:lineRule="auto"/>
    </w:pPr>
  </w:style>
  <w:style w:type="character" w:styleId="HeaderChar" w:customStyle="1">
    <w:name w:val="Header Char"/>
    <w:basedOn w:val="DefaultParagraphFont"/>
    <w:link w:val="Header"/>
    <w:uiPriority w:val="99"/>
    <w:rsid w:val="00022E15"/>
  </w:style>
  <w:style w:type="paragraph" w:styleId="Footer">
    <w:name w:val="footer"/>
    <w:basedOn w:val="Normal"/>
    <w:link w:val="FooterChar"/>
    <w:uiPriority w:val="99"/>
    <w:unhideWhenUsed w:val="1"/>
    <w:rsid w:val="00022E15"/>
    <w:pPr>
      <w:tabs>
        <w:tab w:val="center" w:pos="4536"/>
        <w:tab w:val="right" w:pos="9072"/>
      </w:tabs>
      <w:spacing w:after="0" w:line="240" w:lineRule="auto"/>
    </w:pPr>
  </w:style>
  <w:style w:type="character" w:styleId="FooterChar" w:customStyle="1">
    <w:name w:val="Footer Char"/>
    <w:basedOn w:val="DefaultParagraphFont"/>
    <w:link w:val="Footer"/>
    <w:uiPriority w:val="99"/>
    <w:rsid w:val="00022E15"/>
  </w:style>
  <w:style w:type="paragraph" w:styleId="FootnoteText">
    <w:name w:val="footnote text"/>
    <w:basedOn w:val="Normal"/>
    <w:link w:val="FootnoteTextChar"/>
    <w:uiPriority w:val="99"/>
    <w:semiHidden w:val="1"/>
    <w:unhideWhenUsed w:val="1"/>
    <w:rsid w:val="00DD38D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D38D3"/>
    <w:rPr>
      <w:sz w:val="20"/>
      <w:szCs w:val="20"/>
    </w:rPr>
  </w:style>
  <w:style w:type="character" w:styleId="FootnoteReference">
    <w:name w:val="footnote reference"/>
    <w:basedOn w:val="DefaultParagraphFont"/>
    <w:uiPriority w:val="99"/>
    <w:semiHidden w:val="1"/>
    <w:unhideWhenUsed w:val="1"/>
    <w:rsid w:val="00DD38D3"/>
    <w:rPr>
      <w:vertAlign w:val="superscript"/>
    </w:rPr>
  </w:style>
  <w:style w:type="character" w:styleId="notranslate" w:customStyle="1">
    <w:name w:val="notranslate"/>
    <w:basedOn w:val="DefaultParagraphFont"/>
    <w:rsid w:val="005E24BF"/>
  </w:style>
  <w:style w:type="character" w:styleId="Hyperlink">
    <w:name w:val="Hyperlink"/>
    <w:basedOn w:val="DefaultParagraphFont"/>
    <w:uiPriority w:val="99"/>
    <w:unhideWhenUsed w:val="1"/>
    <w:rsid w:val="005E24BF"/>
    <w:rPr>
      <w:color w:val="0000ff" w:themeColor="hyperlink"/>
      <w:u w:val="single"/>
    </w:rPr>
  </w:style>
  <w:style w:type="character" w:styleId="Nevyeenzmnka1" w:customStyle="1">
    <w:name w:val="Nevyřešená zmínka1"/>
    <w:basedOn w:val="DefaultParagraphFont"/>
    <w:uiPriority w:val="99"/>
    <w:semiHidden w:val="1"/>
    <w:unhideWhenUsed w:val="1"/>
    <w:rsid w:val="005E24BF"/>
    <w:rPr>
      <w:color w:val="605e5c"/>
      <w:shd w:color="auto" w:fill="e1dfdd" w:val="clear"/>
    </w:rPr>
  </w:style>
  <w:style w:type="character" w:styleId="tlid-translation" w:customStyle="1">
    <w:name w:val="tlid-translation"/>
    <w:basedOn w:val="DefaultParagraphFont"/>
    <w:rsid w:val="00A65625"/>
  </w:style>
  <w:style w:type="character" w:styleId="FollowedHyperlink">
    <w:name w:val="FollowedHyperlink"/>
    <w:basedOn w:val="DefaultParagraphFont"/>
    <w:uiPriority w:val="99"/>
    <w:semiHidden w:val="1"/>
    <w:unhideWhenUsed w:val="1"/>
    <w:rsid w:val="005C6C99"/>
    <w:rPr>
      <w:color w:val="800080" w:themeColor="followedHyperlink"/>
      <w:u w:val="single"/>
    </w:rPr>
  </w:style>
  <w:style w:type="character" w:styleId="CommentReference">
    <w:name w:val="annotation reference"/>
    <w:basedOn w:val="DefaultParagraphFont"/>
    <w:uiPriority w:val="99"/>
    <w:semiHidden w:val="1"/>
    <w:unhideWhenUsed w:val="1"/>
    <w:rsid w:val="00F362B5"/>
    <w:rPr>
      <w:sz w:val="16"/>
      <w:szCs w:val="16"/>
    </w:rPr>
  </w:style>
  <w:style w:type="paragraph" w:styleId="CommentText">
    <w:name w:val="annotation text"/>
    <w:basedOn w:val="Normal"/>
    <w:link w:val="CommentTextChar"/>
    <w:uiPriority w:val="99"/>
    <w:semiHidden w:val="1"/>
    <w:unhideWhenUsed w:val="1"/>
    <w:rsid w:val="00F362B5"/>
    <w:pPr>
      <w:spacing w:line="240" w:lineRule="auto"/>
    </w:pPr>
    <w:rPr>
      <w:sz w:val="20"/>
      <w:szCs w:val="20"/>
    </w:rPr>
  </w:style>
  <w:style w:type="character" w:styleId="CommentTextChar" w:customStyle="1">
    <w:name w:val="Comment Text Char"/>
    <w:basedOn w:val="DefaultParagraphFont"/>
    <w:link w:val="CommentText"/>
    <w:uiPriority w:val="99"/>
    <w:semiHidden w:val="1"/>
    <w:rsid w:val="00F362B5"/>
    <w:rPr>
      <w:sz w:val="20"/>
      <w:szCs w:val="20"/>
    </w:rPr>
  </w:style>
  <w:style w:type="paragraph" w:styleId="CommentSubject">
    <w:name w:val="annotation subject"/>
    <w:basedOn w:val="CommentText"/>
    <w:next w:val="CommentText"/>
    <w:link w:val="CommentSubjectChar"/>
    <w:uiPriority w:val="99"/>
    <w:semiHidden w:val="1"/>
    <w:unhideWhenUsed w:val="1"/>
    <w:rsid w:val="00F362B5"/>
    <w:rPr>
      <w:b w:val="1"/>
      <w:bCs w:val="1"/>
    </w:rPr>
  </w:style>
  <w:style w:type="character" w:styleId="CommentSubjectChar" w:customStyle="1">
    <w:name w:val="Comment Subject Char"/>
    <w:basedOn w:val="CommentTextChar"/>
    <w:link w:val="CommentSubject"/>
    <w:uiPriority w:val="99"/>
    <w:semiHidden w:val="1"/>
    <w:rsid w:val="00F362B5"/>
    <w:rPr>
      <w:b w:val="1"/>
      <w:bCs w:val="1"/>
      <w:sz w:val="20"/>
      <w:szCs w:val="20"/>
    </w:rPr>
  </w:style>
  <w:style w:type="paragraph" w:styleId="BalloonText">
    <w:name w:val="Balloon Text"/>
    <w:basedOn w:val="Normal"/>
    <w:link w:val="BalloonTextChar"/>
    <w:uiPriority w:val="99"/>
    <w:semiHidden w:val="1"/>
    <w:unhideWhenUsed w:val="1"/>
    <w:rsid w:val="00F362B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362B5"/>
    <w:rPr>
      <w:rFonts w:ascii="Segoe UI" w:cs="Segoe UI" w:hAnsi="Segoe UI"/>
      <w:sz w:val="18"/>
      <w:szCs w:val="18"/>
    </w:rPr>
  </w:style>
  <w:style w:type="character" w:styleId="mixed-citation" w:customStyle="1">
    <w:name w:val="mixed-citation"/>
    <w:basedOn w:val="DefaultParagraphFont"/>
    <w:rsid w:val="0031287C"/>
  </w:style>
  <w:style w:type="character" w:styleId="ref-title" w:customStyle="1">
    <w:name w:val="ref-title"/>
    <w:basedOn w:val="DefaultParagraphFont"/>
    <w:rsid w:val="0031287C"/>
  </w:style>
  <w:style w:type="character" w:styleId="ref-journal" w:customStyle="1">
    <w:name w:val="ref-journal"/>
    <w:basedOn w:val="DefaultParagraphFont"/>
    <w:rsid w:val="0031287C"/>
  </w:style>
  <w:style w:type="character" w:styleId="ref-vol" w:customStyle="1">
    <w:name w:val="ref-vol"/>
    <w:basedOn w:val="DefaultParagraphFont"/>
    <w:rsid w:val="0031287C"/>
  </w:style>
  <w:style w:type="character" w:styleId="ref-iss" w:customStyle="1">
    <w:name w:val="ref-iss"/>
    <w:basedOn w:val="DefaultParagraphFont"/>
    <w:rsid w:val="0031287C"/>
  </w:style>
  <w:style w:type="character" w:styleId="nowrap" w:customStyle="1">
    <w:name w:val="nowrap"/>
    <w:basedOn w:val="DefaultParagraphFont"/>
    <w:rsid w:val="0031287C"/>
  </w:style>
  <w:style w:type="character" w:styleId="publication" w:customStyle="1">
    <w:name w:val="publication"/>
    <w:basedOn w:val="DefaultParagraphFont"/>
    <w:rsid w:val="00C15BF9"/>
  </w:style>
  <w:style w:type="character" w:styleId="reviewers" w:customStyle="1">
    <w:name w:val="reviewers"/>
    <w:basedOn w:val="DefaultParagraphFont"/>
    <w:rsid w:val="00C15BF9"/>
  </w:style>
  <w:style w:type="character" w:styleId="revdate" w:customStyle="1">
    <w:name w:val="revdate"/>
    <w:basedOn w:val="DefaultParagraphFont"/>
    <w:rsid w:val="00C15BF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MiQRvZ/6PDA9LKwoFVV9Ib9eQ==">AMUW2mVyS+SpLcRwzVLWsWUBcpUYAWzQ8n4b93Azgk7ryXVp0Tli1dQE27hde7eDmbIXvTgcXB/lW/b/2VkjNmkmnI5XNIQJ9KpPdaWvJG9uAL+qz9WvoLE=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2021-08-01T19:18:00Z</dcterms:created>
  <dc:creator>Eva Klímová</dc:creator>
</cp:coreProperties>
</file>