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S. 2103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energii a hospodářství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zajištění podmínek pro provoz hazardních her a ochranu jejich hráčů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 o regulaci hazardu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Účelem zákona je stanovit zásady pro provozování a regulaci hazardních her na území Spojených států amerických.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Spojené státy se zavazují přijmout opatření k potlačení negativních následků hazardních her na veřejnou bezpečnost, zdraví a sociální stabilitu.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102.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Hazardní hrou se pro účely tohoto zákona rozumí taková hra, během které sázející vkládá do hry sázku, jejíž návratnost je závislá na nejisté okolnosti nebo náhodě.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Sázejícím se pro účely tohoto zákona rozumí taková osoba, která se účastní hazardní hry a současně do ní vložila sázku.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Provozovatelem se pro účely tohoto zákona rozumí taková osoba, která hazardní hry organizuje a jejich provoz jinak zabezpečuje.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II. – Zakázané druhy hazardu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201.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Hazardní hry provozované prostřednictvím internetové sítě se zakazují.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Hazardní hry založené na sázení na výsledky sportovních amatérských nebo profesionálních sportovních týmů nebo na výkony jednotlivých sportovců se zakazují.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202.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Sázející osoba musí být starší 21 let.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Hazardní hry se zakazuje provozovat, propagovat nebo jinak podporovat federálním a státním institucím.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Hazardní hry se zakazuje provozovat, propagovat nebo jinak podporovat na místech určených ke vzdělávání mládeže a v církevních prostorech.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III. – Zvláštní povinnosti provozovatele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301.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Provozovatel je povinen zachovávat mlčenlivost o účasti sázejícího na hazardní hře a o výsledcích hazardní hry.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Provozovatel je povinen hazardní hru označit takovým způsobem, aby bylo možné její jasné rozeznání.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Provozovatel je povinen prostor, kde jsou provozovány hazardní hry, označit takovým způsobem, aby bylo možné jeho jasné rozeznání. Označení musí obsahovat identifikační a kontaktní údaje provozovatele.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Provozovatel je povinen zamezit vstupu do prostoru, kde jsou provozovány hazardní hry, osobě mladší 21 let.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IV. – Státní regulace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401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Státy jsou oprávněny omezit a zakázat provozování hazardních her na svém území.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Státy jsou povinny vést registry provozovatelů hazardních her.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V. – Závěrečná ustanovení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501.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Zákon nabývá účinnosti dne 1. 1. 2022.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Jan Hroudný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1.6pt;margin-top:-89.6pt;width:595.2pt;height:841.9pt;z-index:-251655168;mso-wrap-edited:f;mso-width-percent:0;mso-height-percent:0;mso-position-horizontal-relative:margin;mso-position-vertical-relative:margin;mso-width-percent:0;mso-height-percent:0;mso-position-horizontal:absolute;mso-position-vertical:absolute;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DrIgDduWLzG/JktmGjJsJZo2w==">AMUW2mU6t8ksPvmurYGtg8IFlnMIo0cgpPLq0h0nsgYMxKntIukD2sRkVOyOxQrt6UJ5hMe8g/er39WYgR6B48xr7OGYCYJpTG8DvKlM5DOhKFi0lVeVgPw=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2021-08-01T19:18:00Z</dcterms:created>
  <dc:creator>Eva Klímová</dc:creator>
</cp:coreProperties>
</file>